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 w:eastAsia="楷体_GB2312" w:cs="Times New Roman"/>
          <w:sz w:val="36"/>
          <w:szCs w:val="36"/>
        </w:rPr>
      </w:pPr>
      <w:r>
        <w:rPr>
          <w:rFonts w:hint="eastAsia" w:ascii="黑体" w:hAnsi="黑体" w:eastAsia="黑体" w:cs="黑体"/>
          <w:sz w:val="36"/>
          <w:szCs w:val="36"/>
        </w:rPr>
        <w:t>参考答案</w:t>
      </w:r>
    </w:p>
    <w:p>
      <w:pPr>
        <w:rPr>
          <w:rFonts w:ascii="Times New Roman" w:hAnsi="Times New Roman" w:eastAsia="宋体" w:cs="Times New Roman"/>
          <w:b/>
          <w:bCs/>
        </w:rPr>
      </w:pPr>
      <w:r>
        <w:rPr>
          <w:rFonts w:hint="eastAsia" w:ascii="宋体" w:hAnsi="宋体" w:eastAsia="宋体" w:cs="Times New Roman"/>
          <w:b/>
          <w:bCs/>
          <w:szCs w:val="28"/>
        </w:rPr>
        <w:t>一</w:t>
      </w:r>
      <w:r>
        <w:rPr>
          <w:rFonts w:hint="eastAsia" w:ascii="Times New Roman" w:hAnsi="Times New Roman" w:eastAsia="宋体" w:cs="Times New Roman"/>
          <w:b/>
          <w:bCs/>
        </w:rPr>
        <w:t>、单选题</w:t>
      </w:r>
    </w:p>
    <w:p>
      <w:pPr>
        <w:ind w:firstLine="420" w:firstLineChars="20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1—5:D</w:t>
      </w:r>
      <w:r>
        <w:rPr>
          <w:rFonts w:ascii="宋体" w:hAnsi="宋体" w:eastAsia="宋体" w:cs="宋体"/>
        </w:rPr>
        <w:t>B</w:t>
      </w:r>
      <w:r>
        <w:rPr>
          <w:rFonts w:hint="eastAsia" w:ascii="宋体" w:hAnsi="宋体" w:eastAsia="宋体" w:cs="宋体"/>
        </w:rPr>
        <w:t>CAB;     6—10:C</w:t>
      </w:r>
      <w:r>
        <w:rPr>
          <w:rFonts w:ascii="宋体" w:hAnsi="宋体" w:eastAsia="宋体" w:cs="宋体"/>
        </w:rPr>
        <w:t>A</w:t>
      </w:r>
      <w:r>
        <w:rPr>
          <w:rFonts w:hint="eastAsia" w:ascii="宋体" w:hAnsi="宋体" w:eastAsia="宋体" w:cs="宋体"/>
        </w:rPr>
        <w:t xml:space="preserve">BAD;    11—15:ACDAB;    </w:t>
      </w:r>
    </w:p>
    <w:p>
      <w:pPr>
        <w:rPr>
          <w:rFonts w:ascii="Times New Roman" w:hAnsi="Times New Roman" w:eastAsia="宋体" w:cs="Times New Roman"/>
          <w:b/>
          <w:bCs/>
        </w:rPr>
      </w:pPr>
      <w:r>
        <w:rPr>
          <w:rFonts w:hint="eastAsia" w:ascii="Times New Roman" w:hAnsi="Times New Roman" w:eastAsia="宋体" w:cs="Times New Roman"/>
          <w:b/>
          <w:bCs/>
        </w:rPr>
        <w:t>二、非选择题</w:t>
      </w:r>
    </w:p>
    <w:p>
      <w:pPr>
        <w:rPr>
          <w:rFonts w:ascii="宋体" w:hAnsi="宋体" w:eastAsia="宋体" w:cs="宋体"/>
          <w:b/>
          <w:bCs/>
          <w:szCs w:val="21"/>
        </w:rPr>
      </w:pPr>
      <w:r>
        <w:rPr>
          <w:rFonts w:ascii="宋体" w:hAnsi="宋体" w:eastAsia="宋体" w:cs="Times New Roman"/>
          <w:b/>
          <w:bCs/>
        </w:rPr>
        <w:t>16</w:t>
      </w:r>
      <w:r>
        <w:rPr>
          <w:rFonts w:hint="eastAsia" w:ascii="宋体" w:hAnsi="宋体" w:eastAsia="宋体" w:cs="Times New Roman"/>
          <w:b/>
          <w:bCs/>
          <w:szCs w:val="21"/>
        </w:rPr>
        <w:t>．</w:t>
      </w:r>
      <w:r>
        <w:rPr>
          <w:rFonts w:hint="eastAsia" w:ascii="宋体" w:hAnsi="宋体" w:eastAsia="宋体" w:cs="宋体"/>
          <w:b/>
          <w:bCs/>
        </w:rPr>
        <w:t>（11分）</w:t>
      </w:r>
    </w:p>
    <w:p>
      <w:pPr>
        <w:widowControl w:val="0"/>
        <w:spacing w:line="240" w:lineRule="auto"/>
        <w:ind w:left="63" w:hanging="63" w:hangingChars="30"/>
        <w:jc w:val="left"/>
        <w:rPr>
          <w:rFonts w:ascii="宋体" w:hAnsi="宋体" w:eastAsia="宋体" w:cs="Times New Roman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/>
          <w:kern w:val="2"/>
          <w:sz w:val="21"/>
          <w:szCs w:val="20"/>
          <w:lang w:val="en-US" w:eastAsia="zh-CN" w:bidi="ar-SA"/>
        </w:rPr>
        <w:t>（1）</w:t>
      </w:r>
      <w:r>
        <w:rPr>
          <w:rFonts w:hint="eastAsia" w:ascii="宋体" w:hAnsi="宋体" w:eastAsia="宋体" w:cs="宋体"/>
          <w:b/>
          <w:bCs/>
          <w:kern w:val="2"/>
          <w:sz w:val="21"/>
          <w:szCs w:val="20"/>
          <w:lang w:val="en-US" w:eastAsia="zh-CN" w:bidi="ar-SA"/>
        </w:rPr>
        <w:t>特点：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-SA"/>
        </w:rPr>
        <w:t xml:space="preserve">品德与绩效才能考察并重；统一要求与分类考核相结合；全员考核，由中央定期实施；按考核等级确定升降和赏罚。（每点2分，共6分） </w:t>
      </w:r>
    </w:p>
    <w:p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</w:rPr>
        <w:t>（2）作用：</w:t>
      </w:r>
      <w:r>
        <w:rPr>
          <w:rFonts w:hint="eastAsia" w:ascii="宋体" w:hAnsi="宋体" w:eastAsia="宋体" w:cs="宋体"/>
        </w:rPr>
        <w:t>有利于改善吏治，提升官僚队伍素质；有利于提高行政效能，维护中央集权；为唐朝前期出现“治世”局面提供了制度保障。（3分）逐渐流于形式，作用有限，制度本身也并不能杜绝官僚队伍中的腐败和低效等现象。（2分）</w:t>
      </w:r>
    </w:p>
    <w:p>
      <w:pPr>
        <w:rPr>
          <w:rFonts w:ascii="宋体" w:hAnsi="宋体" w:eastAsia="宋体" w:cs="Times New Roman"/>
          <w:b/>
          <w:bCs/>
          <w:szCs w:val="21"/>
        </w:rPr>
      </w:pPr>
      <w:r>
        <w:rPr>
          <w:rFonts w:hint="eastAsia" w:ascii="宋体" w:hAnsi="宋体" w:eastAsia="宋体" w:cs="宋体"/>
          <w:b/>
          <w:bCs/>
          <w:szCs w:val="21"/>
        </w:rPr>
        <w:t>17</w:t>
      </w:r>
      <w:r>
        <w:rPr>
          <w:rFonts w:hint="eastAsia" w:ascii="宋体" w:hAnsi="宋体" w:eastAsia="宋体" w:cs="Times New Roman"/>
          <w:b/>
          <w:bCs/>
          <w:szCs w:val="21"/>
        </w:rPr>
        <w:t>．</w:t>
      </w:r>
      <w:r>
        <w:rPr>
          <w:rFonts w:hint="eastAsia" w:ascii="宋体" w:hAnsi="宋体" w:eastAsia="宋体" w:cs="宋体"/>
          <w:b/>
          <w:bCs/>
        </w:rPr>
        <w:t>（22分）</w:t>
      </w:r>
    </w:p>
    <w:p>
      <w:pPr>
        <w:rPr>
          <w:rFonts w:ascii="宋体" w:hAnsi="宋体" w:eastAsia="宋体" w:cs="Times New Roman"/>
        </w:rPr>
      </w:pPr>
      <w:r>
        <w:rPr>
          <w:rFonts w:hint="eastAsia" w:ascii="宋体" w:hAnsi="宋体" w:eastAsia="宋体" w:cs="宋体"/>
          <w:b/>
          <w:bCs/>
        </w:rPr>
        <w:t>（1） 表现：</w:t>
      </w:r>
      <w:r>
        <w:rPr>
          <w:rFonts w:hint="eastAsia" w:ascii="宋体" w:hAnsi="宋体" w:eastAsia="宋体" w:cs="宋体"/>
        </w:rPr>
        <w:t xml:space="preserve">典当业发达，且分布广泛； 金融机构类型众多；政府积极参与。(每点2分，2点给4分) </w:t>
      </w:r>
    </w:p>
    <w:p>
      <w:pPr>
        <w:ind w:firstLine="632" w:firstLineChars="30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</w:rPr>
        <w:t>原因：</w:t>
      </w:r>
      <w:r>
        <w:rPr>
          <w:rFonts w:hint="eastAsia" w:ascii="宋体" w:hAnsi="宋体" w:eastAsia="宋体" w:cs="宋体"/>
        </w:rPr>
        <w:t xml:space="preserve">商品经济繁荣，经济货币化程度加深，商人自有资本不足，当铺家数增多；白银和铜钱同时流通，产生兑换问题，带动钱庄发展；商品的长途贩运引起资金异地划拨需求，推动票号发展；大型商帮出现，商业竞争加剧等。(每点2分，3点给6分) </w:t>
      </w:r>
    </w:p>
    <w:p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</w:rPr>
        <w:t>（2） 变化：</w:t>
      </w:r>
      <w:r>
        <w:rPr>
          <w:rFonts w:hint="eastAsia" w:ascii="宋体" w:hAnsi="宋体" w:eastAsia="宋体" w:cs="宋体"/>
        </w:rPr>
        <w:t xml:space="preserve">金融机构方面，是中西并呈，外国银行占主导； 金融监管方面，从基本上无政府监理过渡到政府依法管理金融业。 (4分) </w:t>
      </w:r>
    </w:p>
    <w:p>
      <w:pPr>
        <w:ind w:firstLine="632" w:firstLineChars="30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</w:rPr>
        <w:t>评析：</w:t>
      </w:r>
      <w:r>
        <w:rPr>
          <w:rFonts w:hint="eastAsia" w:ascii="宋体" w:hAnsi="宋体" w:eastAsia="宋体" w:cs="宋体"/>
        </w:rPr>
        <w:t>晚清金融发展是在内忧外患的情况下开展；(2分)进程具有曲折性、复杂性；(1分)外国金融势力入侵并操纵中国经济命脉，阻碍中国社会发展；资本市场体制不健全，具有半殖民地特征。(2分)中国近代新式金融发展推动经济近代化,有利于抵制列强侵略；借鉴西方金融运行机制，为后来资本市场发展提供一定借鉴。(2分)政府</w:t>
      </w:r>
      <w:r>
        <w:rPr>
          <w:rFonts w:hint="eastAsia" w:ascii="宋体" w:hAnsi="宋体" w:eastAsia="宋体" w:cs="楷体_GB2312"/>
          <w:szCs w:val="21"/>
        </w:rPr>
        <w:t>对金融市场的管控力度较低，</w:t>
      </w:r>
      <w:r>
        <w:rPr>
          <w:rFonts w:hint="eastAsia" w:ascii="宋体" w:hAnsi="宋体" w:eastAsia="宋体" w:cs="宋体"/>
        </w:rPr>
        <w:t>金融危机发生时，</w:t>
      </w:r>
      <w:r>
        <w:rPr>
          <w:rFonts w:hint="eastAsia" w:ascii="宋体" w:hAnsi="宋体" w:eastAsia="宋体" w:cs="楷体_GB2312"/>
          <w:szCs w:val="21"/>
        </w:rPr>
        <w:t>社会陷入混乱。（1分）</w:t>
      </w:r>
    </w:p>
    <w:p>
      <w:pPr>
        <w:rPr>
          <w:rFonts w:ascii="宋体" w:hAnsi="宋体" w:eastAsia="宋体" w:cs="宋体"/>
          <w:b/>
          <w:bCs/>
          <w:szCs w:val="21"/>
        </w:rPr>
      </w:pPr>
      <w:r>
        <w:rPr>
          <w:rFonts w:hint="eastAsia" w:ascii="宋体" w:hAnsi="宋体" w:eastAsia="宋体" w:cs="宋体"/>
          <w:b/>
          <w:bCs/>
        </w:rPr>
        <w:t>18</w:t>
      </w:r>
      <w:r>
        <w:rPr>
          <w:rFonts w:hint="eastAsia" w:ascii="宋体" w:hAnsi="宋体" w:eastAsia="宋体" w:cs="宋体"/>
          <w:b/>
          <w:bCs/>
          <w:szCs w:val="21"/>
        </w:rPr>
        <w:t>．</w:t>
      </w:r>
      <w:r>
        <w:rPr>
          <w:rFonts w:hint="eastAsia" w:ascii="宋体" w:hAnsi="宋体" w:eastAsia="宋体" w:cs="宋体"/>
          <w:b/>
          <w:bCs/>
        </w:rPr>
        <w:t>（12分）</w:t>
      </w:r>
    </w:p>
    <w:p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szCs w:val="21"/>
        </w:rPr>
        <w:t>论题：</w:t>
      </w:r>
      <w:r>
        <w:rPr>
          <w:rFonts w:hint="eastAsia" w:ascii="宋体" w:hAnsi="宋体" w:eastAsia="宋体" w:cs="宋体"/>
          <w:szCs w:val="21"/>
        </w:rPr>
        <w:t>应以长时段来看待中国古代经济重心的南移。（3分）</w:t>
      </w:r>
    </w:p>
    <w:p>
      <w:pPr>
        <w:rPr>
          <w:rFonts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b/>
          <w:bCs/>
          <w:szCs w:val="21"/>
        </w:rPr>
        <w:t>论述：</w:t>
      </w:r>
      <w:r>
        <w:rPr>
          <w:rFonts w:hint="eastAsia" w:ascii="宋体" w:hAnsi="宋体" w:eastAsia="宋体" w:cs="宋体"/>
          <w:szCs w:val="21"/>
        </w:rPr>
        <w:t>北方的黄河流域是中国自战国至中唐时期的经济重心。但魏晋南北朝时期，江南得到开发，南北经济趋于平衡；唐朝中期安史之乱后，经济重心开始南移；至两宋之际，经济重心南移过程完成。可见经济重心的南移是一个漫长过程，持续了数百年。</w:t>
      </w:r>
    </w:p>
    <w:p>
      <w:pPr>
        <w:rPr>
          <w:rFonts w:ascii="Times New Roman" w:hAnsi="Times New Roman" w:eastAsia="宋体" w:cs="Times New Roman"/>
        </w:rPr>
      </w:pPr>
      <w:r>
        <w:rPr>
          <w:rFonts w:hint="eastAsia" w:ascii="宋体" w:hAnsi="宋体" w:eastAsia="宋体" w:cs="宋体"/>
          <w:szCs w:val="21"/>
        </w:rPr>
        <w:t xml:space="preserve">     古代气候变迁下，游牧民族南下进攻中原，</w:t>
      </w:r>
      <w:r>
        <w:rPr>
          <w:rFonts w:hint="eastAsia" w:ascii="Times New Roman" w:hAnsi="Times New Roman" w:eastAsia="宋体" w:cs="Times New Roman"/>
        </w:rPr>
        <w:t>中原人口</w:t>
      </w:r>
      <w:r>
        <w:rPr>
          <w:rFonts w:ascii="Times New Roman" w:hAnsi="Times New Roman" w:eastAsia="宋体" w:cs="Times New Roman"/>
        </w:rPr>
        <w:t>大量南迁，为南方发展</w:t>
      </w:r>
      <w:r>
        <w:rPr>
          <w:rFonts w:hint="eastAsia" w:ascii="Times New Roman" w:hAnsi="Times New Roman" w:eastAsia="宋体" w:cs="Times New Roman"/>
        </w:rPr>
        <w:t>提供</w:t>
      </w:r>
      <w:r>
        <w:rPr>
          <w:rFonts w:ascii="Times New Roman" w:hAnsi="Times New Roman" w:eastAsia="宋体" w:cs="Times New Roman"/>
        </w:rPr>
        <w:t>劳动力</w:t>
      </w:r>
      <w:r>
        <w:rPr>
          <w:rFonts w:hint="eastAsia" w:ascii="Times New Roman" w:hAnsi="Times New Roman" w:eastAsia="宋体" w:cs="Times New Roman"/>
        </w:rPr>
        <w:t>和先进生产工具与技术；南方相对安定的社会环境和适宜农耕的优越</w:t>
      </w:r>
      <w:r>
        <w:rPr>
          <w:rFonts w:ascii="Times New Roman" w:hAnsi="Times New Roman" w:eastAsia="宋体" w:cs="Times New Roman"/>
        </w:rPr>
        <w:t>自然资源</w:t>
      </w:r>
      <w:r>
        <w:rPr>
          <w:rFonts w:hint="eastAsia" w:ascii="Times New Roman" w:hAnsi="Times New Roman" w:eastAsia="宋体" w:cs="Times New Roman"/>
        </w:rPr>
        <w:t>等；在多种因素综合下南方</w:t>
      </w:r>
      <w:r>
        <w:rPr>
          <w:rFonts w:hint="eastAsia" w:ascii="宋体" w:hAnsi="宋体" w:eastAsia="宋体" w:cs="宋体"/>
          <w:szCs w:val="21"/>
        </w:rPr>
        <w:t>经济得以持续发展并超过北方。（8分）</w:t>
      </w:r>
    </w:p>
    <w:p>
      <w:pPr>
        <w:rPr>
          <w:rFonts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b/>
          <w:bCs/>
          <w:szCs w:val="21"/>
        </w:rPr>
        <w:t>结语：</w:t>
      </w:r>
      <w:r>
        <w:rPr>
          <w:rFonts w:hint="eastAsia" w:ascii="宋体" w:hAnsi="宋体" w:eastAsia="宋体" w:cs="宋体"/>
        </w:rPr>
        <w:t>从长时段理论来看，两宋之际，经济重心转移到南方。不过是汉代以来，南方经济不断发展的延续，是</w:t>
      </w:r>
      <w:r>
        <w:rPr>
          <w:rFonts w:hint="eastAsia" w:ascii="宋体" w:hAnsi="宋体" w:eastAsia="宋体" w:cs="宋体"/>
          <w:szCs w:val="21"/>
        </w:rPr>
        <w:t>多种因素交互作用、共同推动的结果</w:t>
      </w:r>
      <w:r>
        <w:rPr>
          <w:rFonts w:hint="eastAsia" w:ascii="宋体" w:hAnsi="宋体" w:eastAsia="宋体" w:cs="宋体"/>
        </w:rPr>
        <w:t>。</w:t>
      </w:r>
      <w:r>
        <w:rPr>
          <w:rFonts w:hint="eastAsia" w:ascii="宋体" w:hAnsi="宋体" w:eastAsia="宋体" w:cs="宋体"/>
          <w:szCs w:val="21"/>
        </w:rPr>
        <w:t>（1分）</w:t>
      </w:r>
    </w:p>
    <w:p>
      <w:pPr>
        <w:rPr>
          <w:rFonts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b/>
          <w:bCs/>
          <w:szCs w:val="21"/>
        </w:rPr>
        <w:t>19．</w:t>
      </w:r>
      <w:r>
        <w:rPr>
          <w:rFonts w:hint="eastAsia" w:ascii="宋体" w:hAnsi="宋体" w:eastAsia="宋体" w:cs="宋体"/>
          <w:b/>
          <w:bCs/>
        </w:rPr>
        <w:t>（10分）</w:t>
      </w:r>
      <w:bookmarkStart w:id="0" w:name="_GoBack"/>
      <w:bookmarkEnd w:id="0"/>
    </w:p>
    <w:p>
      <w:pPr>
        <w:ind w:firstLine="422" w:firstLineChars="20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</w:rPr>
        <w:t>材料来源：</w:t>
      </w:r>
      <w:r>
        <w:rPr>
          <w:rFonts w:hint="eastAsia" w:ascii="宋体" w:hAnsi="宋体" w:eastAsia="宋体" w:cs="宋体"/>
        </w:rPr>
        <w:t>材料选自1898年的</w:t>
      </w:r>
      <w:r>
        <w:rPr>
          <w:rFonts w:hint="eastAsia" w:ascii="宋体" w:hAnsi="宋体" w:eastAsia="宋体" w:cs="宋体"/>
          <w:szCs w:val="21"/>
        </w:rPr>
        <w:t>《格致新报》，</w:t>
      </w:r>
      <w:r>
        <w:rPr>
          <w:rFonts w:hint="eastAsia" w:ascii="宋体" w:hAnsi="宋体" w:eastAsia="宋体" w:cs="宋体"/>
        </w:rPr>
        <w:t>是研究19世纪末</w:t>
      </w:r>
      <w:r>
        <w:rPr>
          <w:rFonts w:hint="eastAsia" w:ascii="宋体" w:hAnsi="宋体" w:eastAsia="宋体" w:cs="宋体"/>
          <w:szCs w:val="21"/>
        </w:rPr>
        <w:t>晚清社会</w:t>
      </w:r>
      <w:r>
        <w:rPr>
          <w:rFonts w:hint="eastAsia" w:ascii="宋体" w:hAnsi="宋体" w:eastAsia="宋体" w:cs="宋体"/>
        </w:rPr>
        <w:t>的一手史料。（2分）</w:t>
      </w:r>
    </w:p>
    <w:p>
      <w:pPr>
        <w:ind w:firstLine="422" w:firstLineChars="20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</w:rPr>
        <w:t>材料内容：</w:t>
      </w:r>
      <w:r>
        <w:rPr>
          <w:rFonts w:hint="eastAsia" w:ascii="宋体" w:hAnsi="宋体" w:eastAsia="宋体" w:cs="宋体"/>
        </w:rPr>
        <w:t>据表格数据可知，涉及物理、生物、医学、应用科学等，其中应用科学比重较大。可用于研究19世纪末的西学东渐。19世纪末，民族危机加深，社会对应用科学的需求更加强烈，注重实用的应用科学受时人关注，体现了19世纪末向西方学习的阶段特征。（3分）</w:t>
      </w:r>
    </w:p>
    <w:p>
      <w:pPr>
        <w:ind w:firstLine="420" w:firstLineChars="20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据表格所列比例可知，关于时务的问题占了相当大的比例。可用于研究19世纪末的时代主题。1898年，正值列强瓜分中国之际，民族危机空前严重，救亡图存成为时代的主题，以康有为、梁启超为代表的维新派宣传维新变法思想，推动了时人对救亡图存等问题的关注。（3分）</w:t>
      </w:r>
    </w:p>
    <w:p>
      <w:pPr>
        <w:ind w:firstLine="420" w:firstLineChars="20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《格致新报》的答问专栏不仅反映了甲午战后国人对于西方科学的关注状况，也见证了国民积极探索救国方式的精神，是晚清社会民众思想和社会变化的一个缩影。（2分）</w:t>
      </w:r>
    </w:p>
    <w:p/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6A40BF"/>
    <w:rsid w:val="3A6A4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2020-10-31T02:34:00Z</dcterms:created>
  <dc:creator>雅观科技一中文印专员</dc:creator>
  <cp:lastModifiedBy>雅观科技一中文印专员</cp:lastModifiedBy>
  <dcterms:modified xsi:type="dcterms:W3CDTF">2020-10-31T02:34:41Z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