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宋体" w:hAnsi="宋体" w:cs="宋体"/>
          <w:bCs/>
          <w:color w:val="000000"/>
          <w:kern w:val="0"/>
          <w:sz w:val="22"/>
          <w:lang w:bidi="ar"/>
        </w:rPr>
      </w:pPr>
      <w:r>
        <w:rPr>
          <w:rFonts w:hint="eastAsia" w:ascii="宋体" w:hAnsi="宋体" w:cs="宋体"/>
          <w:bCs/>
          <w:color w:val="000000"/>
          <w:kern w:val="0"/>
          <w:sz w:val="22"/>
          <w:lang w:bidi="ar"/>
        </w:rPr>
        <w:t>山西大学附中2020—2021学年第一学期高三年级第二次模块诊断</w:t>
      </w:r>
    </w:p>
    <w:p>
      <w:pPr>
        <w:widowControl/>
        <w:jc w:val="center"/>
        <w:rPr>
          <w:rFonts w:ascii="宋体" w:hAnsi="宋体" w:cs="宋体"/>
          <w:b/>
          <w:bCs w:val="0"/>
          <w:color w:val="000000"/>
          <w:kern w:val="0"/>
          <w:sz w:val="28"/>
          <w:szCs w:val="28"/>
          <w:lang w:bidi="ar"/>
        </w:rPr>
      </w:pPr>
      <w:r>
        <w:rPr>
          <w:rFonts w:hint="eastAsia" w:ascii="宋体" w:hAnsi="宋体" w:cs="宋体"/>
          <w:b/>
          <w:bCs w:val="0"/>
          <w:color w:val="000000"/>
          <w:kern w:val="0"/>
          <w:sz w:val="28"/>
          <w:szCs w:val="28"/>
          <w:lang w:bidi="ar"/>
        </w:rPr>
        <w:t>历史试题评分细则</w:t>
      </w:r>
    </w:p>
    <w:p>
      <w:pPr>
        <w:jc w:val="left"/>
        <w:textAlignment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一、选择题（每小题1.5分，共48分）</w:t>
      </w:r>
    </w:p>
    <w:p>
      <w:pPr>
        <w:jc w:val="left"/>
        <w:textAlignment w:val="center"/>
        <w:rPr>
          <w:rFonts w:ascii="宋体" w:hAnsi="宋体"/>
        </w:rPr>
      </w:pPr>
      <w:r>
        <w:rPr>
          <w:rFonts w:hint="eastAsia" w:ascii="宋体" w:hAnsi="宋体"/>
        </w:rPr>
        <w:t>1-5：A</w:t>
      </w:r>
      <w:r>
        <w:rPr>
          <w:rFonts w:ascii="宋体" w:hAnsi="宋体"/>
        </w:rPr>
        <w:t>ACBC</w:t>
      </w:r>
      <w:r>
        <w:rPr>
          <w:rFonts w:ascii="宋体" w:hAnsi="宋体"/>
        </w:rPr>
        <w:tab/>
      </w:r>
      <w:r>
        <w:rPr>
          <w:rFonts w:ascii="宋体" w:hAnsi="宋体"/>
        </w:rPr>
        <w:tab/>
      </w:r>
      <w:r>
        <w:rPr>
          <w:rFonts w:ascii="宋体" w:hAnsi="宋体"/>
        </w:rPr>
        <w:t>5</w:t>
      </w:r>
      <w:r>
        <w:rPr>
          <w:rFonts w:hint="eastAsia" w:ascii="宋体" w:hAnsi="宋体"/>
        </w:rPr>
        <w:t>-10：D</w:t>
      </w:r>
      <w:r>
        <w:rPr>
          <w:rFonts w:ascii="宋体" w:hAnsi="宋体"/>
        </w:rPr>
        <w:t>DCCC</w:t>
      </w:r>
      <w:r>
        <w:rPr>
          <w:rFonts w:ascii="宋体" w:hAnsi="宋体"/>
        </w:rPr>
        <w:tab/>
      </w:r>
      <w:r>
        <w:rPr>
          <w:rFonts w:ascii="宋体" w:hAnsi="宋体"/>
        </w:rPr>
        <w:tab/>
      </w:r>
      <w:r>
        <w:rPr>
          <w:rFonts w:hint="eastAsia" w:ascii="宋体" w:hAnsi="宋体"/>
        </w:rPr>
        <w:t>11-15：</w:t>
      </w:r>
      <w:r>
        <w:rPr>
          <w:rFonts w:ascii="宋体" w:hAnsi="宋体"/>
        </w:rPr>
        <w:t>CCDAD</w:t>
      </w:r>
      <w:r>
        <w:rPr>
          <w:rFonts w:ascii="宋体" w:hAnsi="宋体"/>
        </w:rPr>
        <w:tab/>
      </w:r>
      <w:r>
        <w:rPr>
          <w:rFonts w:hint="eastAsia" w:ascii="宋体" w:hAnsi="宋体"/>
        </w:rPr>
        <w:t>16-20：C</w:t>
      </w:r>
      <w:r>
        <w:rPr>
          <w:rFonts w:ascii="宋体" w:hAnsi="宋体"/>
        </w:rPr>
        <w:t>DBBC</w:t>
      </w:r>
      <w:r>
        <w:rPr>
          <w:rFonts w:ascii="宋体" w:hAnsi="宋体"/>
        </w:rPr>
        <w:tab/>
      </w:r>
      <w:r>
        <w:rPr>
          <w:rFonts w:hint="eastAsia" w:ascii="宋体" w:hAnsi="宋体"/>
        </w:rPr>
        <w:t>21-25：B</w:t>
      </w:r>
      <w:r>
        <w:rPr>
          <w:rFonts w:ascii="宋体" w:hAnsi="宋体"/>
        </w:rPr>
        <w:t>DDDB</w:t>
      </w:r>
    </w:p>
    <w:p>
      <w:pPr>
        <w:jc w:val="left"/>
        <w:textAlignment w:val="center"/>
        <w:rPr>
          <w:rFonts w:hint="eastAsia" w:ascii="宋体" w:hAnsi="宋体"/>
        </w:rPr>
      </w:pPr>
      <w:r>
        <w:rPr>
          <w:rFonts w:hint="eastAsia" w:ascii="宋体" w:hAnsi="宋体"/>
        </w:rPr>
        <w:t>26-30：</w:t>
      </w:r>
      <w:r>
        <w:rPr>
          <w:rFonts w:ascii="宋体" w:hAnsi="宋体"/>
        </w:rPr>
        <w:t xml:space="preserve">AAADA  </w:t>
      </w:r>
      <w:r>
        <w:rPr>
          <w:rFonts w:hint="eastAsia" w:ascii="宋体" w:hAnsi="宋体"/>
        </w:rPr>
        <w:t>31-32：</w:t>
      </w:r>
      <w:r>
        <w:rPr>
          <w:rFonts w:ascii="宋体" w:hAnsi="宋体"/>
        </w:rPr>
        <w:t>AB</w:t>
      </w:r>
    </w:p>
    <w:p>
      <w:pPr>
        <w:jc w:val="left"/>
        <w:textAlignment w:val="center"/>
        <w:rPr>
          <w:rFonts w:ascii="宋体" w:hAnsi="宋体"/>
          <w:color w:val="000000" w:themeColor="text1"/>
          <w14:textFill>
            <w14:solidFill>
              <w14:schemeClr w14:val="tx1"/>
            </w14:solidFill>
          </w14:textFill>
        </w:rPr>
      </w:pP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w:t>
      </w:r>
      <w:r>
        <w:rPr>
          <w:rFonts w:hint="eastAsia" w:ascii="宋体" w:hAnsi="宋体" w:cs="宋体"/>
          <w:color w:val="000000" w:themeColor="text1"/>
          <w14:textFill>
            <w14:solidFill>
              <w14:schemeClr w14:val="tx1"/>
            </w14:solidFill>
          </w14:textFill>
        </w:rPr>
        <w:t>（1）不同：东汉时期，宦官干政现象严重，宋朝时宦官基本未干预政治。（4分）</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原因：东汉皇帝大多年幼继位，其大多依靠宦官除掉外戚，宦官获得皇帝赏识。（2分）北宋时期，多数皇帝即位时年龄较大，减少了依靠宦官的几率；宋代科举相对公平、公正，使很多人不需要自残身体就可以进入官场；宋朝”重文轻武"，文官较易为皇帝控制，皇帝很少需要以宦官来制约文臣。（6分）</w:t>
      </w:r>
    </w:p>
    <w:p>
      <w:pPr>
        <w:jc w:val="left"/>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（2）认识：君主专制是中国古代宦官干政的根源；宦官干政对社会政治、经济造成很大破坏；皇帝要亲政、勤政，不给宦官专权以可乘之机。（</w:t>
      </w:r>
      <w:r>
        <w:rPr>
          <w:rFonts w:hint="eastAsia" w:ascii="宋体" w:hAnsi="宋体" w:cs="宋体"/>
          <w:color w:val="000000" w:themeColor="text1"/>
          <w:lang w:eastAsia="zh-CN"/>
          <w14:textFill>
            <w14:solidFill>
              <w14:schemeClr w14:val="tx1"/>
            </w14:solidFill>
          </w14:textFill>
        </w:rPr>
        <w:t>言之有理即可</w:t>
      </w:r>
      <w:r>
        <w:rPr>
          <w:rFonts w:hint="eastAsia" w:ascii="宋体" w:hAnsi="宋体" w:cs="宋体"/>
          <w:color w:val="000000" w:themeColor="text1"/>
          <w14:textFill>
            <w14:solidFill>
              <w14:schemeClr w14:val="tx1"/>
            </w14:solidFill>
          </w14:textFill>
        </w:rPr>
        <w:t>6分）</w:t>
      </w:r>
    </w:p>
    <w:p>
      <w:pPr>
        <w:jc w:val="left"/>
        <w:textAlignment w:val="center"/>
        <w:rPr>
          <w:rFonts w:ascii="宋体" w:hAnsi="宋体"/>
          <w:color w:val="000000" w:themeColor="text1"/>
          <w14:textFill>
            <w14:solidFill>
              <w14:schemeClr w14:val="tx1"/>
            </w14:solidFill>
          </w14:textFill>
        </w:rPr>
      </w:pPr>
    </w:p>
    <w:p>
      <w:pPr>
        <w:jc w:val="left"/>
        <w:textAlignment w:val="center"/>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34.</w:t>
      </w:r>
      <w:r>
        <w:rPr>
          <w:rFonts w:hint="eastAsia" w:ascii="宋体" w:hAnsi="宋体" w:cs="宋体"/>
          <w:color w:val="000000" w:themeColor="text1"/>
          <w14:textFill>
            <w14:solidFill>
              <w14:schemeClr w14:val="tx1"/>
            </w14:solidFill>
          </w14:textFill>
        </w:rPr>
        <w:t>（</w:t>
      </w:r>
      <w:r>
        <w:rPr>
          <w:rFonts w:eastAsia="Times New Roman"/>
          <w:color w:val="000000" w:themeColor="text1"/>
          <w14:textFill>
            <w14:solidFill>
              <w14:schemeClr w14:val="tx1"/>
            </w14:solidFill>
          </w14:textFill>
        </w:rPr>
        <w:t>1</w:t>
      </w:r>
      <w:r>
        <w:rPr>
          <w:rFonts w:hint="eastAsia" w:ascii="宋体" w:hAnsi="宋体" w:cs="宋体"/>
          <w:color w:val="000000" w:themeColor="text1"/>
          <w14:textFill>
            <w14:solidFill>
              <w14:schemeClr w14:val="tx1"/>
            </w14:solidFill>
          </w14:textFill>
        </w:rPr>
        <w:t>）背景：安史之乱后，唐朝由盛转衰，中央集权削弱；中央财政收入锐减，政府无力支付军费；安史之乱后初期的专营管制弊端丛生。（3点6分）</w:t>
      </w:r>
    </w:p>
    <w:p>
      <w:pPr>
        <w:ind w:right="210"/>
        <w:jc w:val="left"/>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eastAsia="Times New Roman"/>
          <w:color w:val="000000" w:themeColor="text1"/>
          <w14:textFill>
            <w14:solidFill>
              <w14:schemeClr w14:val="tx1"/>
            </w14:solidFill>
          </w14:textFill>
        </w:rPr>
        <w:t>2</w:t>
      </w:r>
      <w:r>
        <w:rPr>
          <w:rFonts w:hint="eastAsia" w:ascii="宋体" w:hAnsi="宋体" w:cs="宋体"/>
          <w:color w:val="000000" w:themeColor="text1"/>
          <w14:textFill>
            <w14:solidFill>
              <w14:schemeClr w14:val="tx1"/>
            </w14:solidFill>
          </w14:textFill>
        </w:rPr>
        <w:t>）措施：修正盐业专营制度，把统购统销政策改为“民产——官收——商销”；在全国十三个重要产盐区设立巡院，打击私盐；制定了“常平盐”制度；对全国的重要商品产销进行管制。（8分）</w:t>
      </w:r>
    </w:p>
    <w:p>
      <w:pPr>
        <w:ind w:firstLine="420" w:firstLineChars="200"/>
        <w:jc w:val="left"/>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影响：增加了政府的财政收入；加强了中央政府的统治能力（中央集权）；打击</w:t>
      </w:r>
      <w:r>
        <w:rPr>
          <w:rFonts w:hint="eastAsia" w:ascii="宋体" w:hAnsi="宋体" w:cs="楷体"/>
          <w:color w:val="000000" w:themeColor="text1"/>
          <w14:textFill>
            <w14:solidFill>
              <w14:schemeClr w14:val="tx1"/>
            </w14:solidFill>
          </w14:textFill>
        </w:rPr>
        <w:t>投机商</w:t>
      </w:r>
      <w:r>
        <w:rPr>
          <w:rFonts w:hint="eastAsia" w:ascii="宋体" w:hAnsi="宋体" w:cs="宋体"/>
          <w:color w:val="000000" w:themeColor="text1"/>
          <w14:textFill>
            <w14:solidFill>
              <w14:schemeClr w14:val="tx1"/>
            </w14:solidFill>
          </w14:textFill>
        </w:rPr>
        <w:t>，有利于社会经济的健康发展；维护了百姓生计，缓解阶级矛盾。（8分）</w:t>
      </w:r>
    </w:p>
    <w:p>
      <w:pPr>
        <w:jc w:val="left"/>
        <w:textAlignment w:val="center"/>
        <w:rPr>
          <w:rFonts w:ascii="宋体" w:hAnsi="宋体"/>
          <w:color w:val="000000" w:themeColor="text1"/>
          <w14:textFill>
            <w14:solidFill>
              <w14:schemeClr w14:val="tx1"/>
            </w14:solidFill>
          </w14:textFill>
        </w:rPr>
      </w:pPr>
      <w:bookmarkStart w:id="0" w:name="_GoBack"/>
      <w:bookmarkEnd w:id="0"/>
    </w:p>
    <w:p>
      <w:pPr>
        <w:jc w:val="left"/>
        <w:textAlignment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35.</w:t>
      </w: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论点：儒学的道德观为中华帝国的千年统治提供了理论依据</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2分</w:t>
      </w:r>
      <w:r>
        <w:rPr>
          <w:rFonts w:hint="eastAsia" w:ascii="宋体" w:hAnsi="宋体" w:cs="宋体"/>
          <w:color w:val="000000" w:themeColor="text1"/>
          <w:lang w:eastAsia="zh-CN"/>
          <w14:textFill>
            <w14:solidFill>
              <w14:schemeClr w14:val="tx1"/>
            </w14:solidFill>
          </w14:textFill>
        </w:rPr>
        <w:t>）</w:t>
      </w:r>
    </w:p>
    <w:p>
      <w:pPr>
        <w:jc w:val="left"/>
        <w:textAlignment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论证：儒家思想强调伦理道德、纲常名教，成为封建王朝引导社会价值观，维持社会基本秩序，维护自身统治的理论工具。</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2分</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汉代董仲舒提倡“三纲五常”、“君权神授”等思想，弘扬“屈民而伸君”，这有利于维护汉武帝后大一统格局的发展，进一步巩固了专制主义中央集权；宋代二程、朱熹将“三纲五常”的思想上升到天理的高度，进而将儒家伦理道德的思想世俗化、通俗化，极大的提升了中国人道德责任意识，塑造了有利于维护古代封建专制统治的民族性格。</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5分</w:t>
      </w:r>
      <w:r>
        <w:rPr>
          <w:rFonts w:hint="eastAsia" w:ascii="宋体" w:hAnsi="宋体" w:cs="宋体"/>
          <w:color w:val="000000" w:themeColor="text1"/>
          <w:lang w:eastAsia="zh-CN"/>
          <w14:textFill>
            <w14:solidFill>
              <w14:schemeClr w14:val="tx1"/>
            </w14:solidFill>
          </w14:textFill>
        </w:rPr>
        <w:t>）</w:t>
      </w:r>
    </w:p>
    <w:p>
      <w:pPr>
        <w:jc w:val="left"/>
        <w:textAlignment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结论：中华文明自秦汉以后，始终伴随着儒家思想道德伦理的砥砺要求，中华民族重德行讲教化的传统亦为当今国人的道德品质提供正向影响。</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3分</w:t>
      </w:r>
      <w:r>
        <w:rPr>
          <w:rFonts w:hint="eastAsia" w:ascii="宋体" w:hAnsi="宋体" w:cs="宋体"/>
          <w:color w:val="000000" w:themeColor="text1"/>
          <w:lang w:eastAsia="zh-CN"/>
          <w14:textFill>
            <w14:solidFill>
              <w14:schemeClr w14:val="tx1"/>
            </w14:solidFill>
          </w14:textFill>
        </w:rPr>
        <w:t>）</w:t>
      </w:r>
    </w:p>
    <w:p>
      <w:pPr>
        <w:rPr>
          <w:rFonts w:ascii="宋体" w:hAnsi="宋体"/>
          <w:color w:val="00B050"/>
        </w:rPr>
      </w:pPr>
    </w:p>
    <w:sectPr>
      <w:pgSz w:w="9978" w:h="14173"/>
      <w:pgMar w:top="851" w:right="851" w:bottom="851" w:left="8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516"/>
    <w:rsid w:val="00026063"/>
    <w:rsid w:val="002E7981"/>
    <w:rsid w:val="00304C4F"/>
    <w:rsid w:val="0032330B"/>
    <w:rsid w:val="00450E9B"/>
    <w:rsid w:val="0047725B"/>
    <w:rsid w:val="004D58C5"/>
    <w:rsid w:val="004F0BB8"/>
    <w:rsid w:val="00515097"/>
    <w:rsid w:val="00540B90"/>
    <w:rsid w:val="00567929"/>
    <w:rsid w:val="006D2382"/>
    <w:rsid w:val="007D73C8"/>
    <w:rsid w:val="00835800"/>
    <w:rsid w:val="0087584F"/>
    <w:rsid w:val="00934CA4"/>
    <w:rsid w:val="00951516"/>
    <w:rsid w:val="00AC7E2D"/>
    <w:rsid w:val="00B7353C"/>
    <w:rsid w:val="00C43E54"/>
    <w:rsid w:val="00F26F13"/>
    <w:rsid w:val="0D3671E3"/>
    <w:rsid w:val="1C562C0D"/>
    <w:rsid w:val="1E6D0329"/>
    <w:rsid w:val="2C4073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1"/>
    <w:semiHidden/>
    <w:unhideWhenUsed/>
    <w:qFormat/>
    <w:uiPriority w:val="99"/>
    <w:rPr>
      <w:sz w:val="18"/>
      <w:szCs w:val="18"/>
    </w:rPr>
  </w:style>
  <w:style w:type="character" w:styleId="6">
    <w:name w:val="Emphasis"/>
    <w:basedOn w:val="5"/>
    <w:qFormat/>
    <w:uiPriority w:val="20"/>
    <w:rPr>
      <w:i/>
      <w:iCs/>
    </w:rPr>
  </w:style>
  <w:style w:type="character" w:styleId="7">
    <w:name w:val="Hyperlink"/>
    <w:basedOn w:val="5"/>
    <w:semiHidden/>
    <w:unhideWhenUsed/>
    <w:qFormat/>
    <w:uiPriority w:val="99"/>
    <w:rPr>
      <w:color w:val="0000FF"/>
      <w:u w:val="single"/>
    </w:rPr>
  </w:style>
  <w:style w:type="character" w:styleId="8">
    <w:name w:val="annotation reference"/>
    <w:basedOn w:val="5"/>
    <w:semiHidden/>
    <w:unhideWhenUsed/>
    <w:qFormat/>
    <w:uiPriority w:val="99"/>
    <w:rPr>
      <w:sz w:val="21"/>
      <w:szCs w:val="21"/>
    </w:rPr>
  </w:style>
  <w:style w:type="paragraph" w:customStyle="1" w:styleId="9">
    <w:name w:val="op_exactqa_detail_s_pro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
    <w:name w:val="op_exactqa_detail_s_author"/>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1">
    <w:name w:val="批注框文本 字符"/>
    <w:basedOn w:val="5"/>
    <w:link w:val="3"/>
    <w:semiHidden/>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135</Words>
  <Characters>771</Characters>
  <Lines>6</Lines>
  <Paragraphs>1</Paragraphs>
  <TotalTime>16</TotalTime>
  <ScaleCrop>false</ScaleCrop>
  <LinksUpToDate>false</LinksUpToDate>
  <CharactersWithSpaces>905</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2020-08-18T10:27:00Z</dcterms:created>
  <dc:creator>jingweismile@163.com</dc:creator>
  <cp:lastModifiedBy>龙在江湖</cp:lastModifiedBy>
  <dcterms:modified xsi:type="dcterms:W3CDTF">2020-08-20T10:01:15Z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